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hint="eastAsia" w:ascii="微软雅黑" w:hAnsi="微软雅黑" w:eastAsia="微软雅黑" w:cs="微软雅黑"/>
          <w:b/>
          <w:i w:val="0"/>
          <w:caps w:val="0"/>
          <w:color w:val="1F5781"/>
          <w:spacing w:val="0"/>
          <w:sz w:val="39"/>
          <w:szCs w:val="39"/>
        </w:rPr>
      </w:pPr>
      <w:r>
        <w:rPr>
          <w:rFonts w:hint="eastAsia" w:ascii="微软雅黑" w:hAnsi="微软雅黑" w:eastAsia="微软雅黑" w:cs="微软雅黑"/>
          <w:b/>
          <w:i w:val="0"/>
          <w:caps w:val="0"/>
          <w:color w:val="1F5781"/>
          <w:spacing w:val="0"/>
          <w:sz w:val="39"/>
          <w:szCs w:val="39"/>
          <w:shd w:val="clear" w:fill="FFFFFF"/>
        </w:rPr>
        <w:t>中央纪委国家监委公开通报青海省6名党员领导干部严重违反中央八项规定精神问题</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before="0" w:beforeAutospacing="1" w:after="0" w:afterAutospacing="1"/>
        <w:ind w:left="0" w:right="0" w:firstLine="0"/>
        <w:jc w:val="center"/>
        <w:rPr>
          <w:rFonts w:hint="eastAsia" w:ascii="微软雅黑" w:hAnsi="微软雅黑" w:eastAsia="微软雅黑" w:cs="微软雅黑"/>
          <w:b w:val="0"/>
          <w:i w:val="0"/>
          <w:caps w:val="0"/>
          <w:color w:val="000000"/>
          <w:spacing w:val="0"/>
          <w:sz w:val="21"/>
          <w:szCs w:val="21"/>
        </w:rPr>
      </w:pPr>
      <w:r>
        <w:rPr>
          <w:rStyle w:val="7"/>
          <w:rFonts w:hint="eastAsia" w:ascii="微软雅黑" w:hAnsi="微软雅黑" w:eastAsia="微软雅黑" w:cs="微软雅黑"/>
          <w:b w:val="0"/>
          <w:i w:val="0"/>
          <w:caps w:val="0"/>
          <w:color w:val="000000"/>
          <w:spacing w:val="0"/>
          <w:kern w:val="0"/>
          <w:sz w:val="21"/>
          <w:szCs w:val="21"/>
          <w:shd w:val="clear" w:fill="FFFFFF"/>
          <w:lang w:val="en-US" w:eastAsia="zh-CN" w:bidi="ar"/>
        </w:rPr>
        <w:t>来源：中央纪委国家监委网站</w:t>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r>
        <w:rPr>
          <w:rStyle w:val="7"/>
          <w:rFonts w:hint="eastAsia" w:ascii="微软雅黑" w:hAnsi="微软雅黑" w:eastAsia="微软雅黑" w:cs="微软雅黑"/>
          <w:b w:val="0"/>
          <w:i w:val="0"/>
          <w:caps w:val="0"/>
          <w:color w:val="000000"/>
          <w:spacing w:val="0"/>
          <w:kern w:val="0"/>
          <w:sz w:val="21"/>
          <w:szCs w:val="21"/>
          <w:shd w:val="clear" w:fill="FFFFFF"/>
          <w:lang w:val="en-US" w:eastAsia="zh-CN" w:bidi="ar"/>
        </w:rPr>
        <w:t>发布时间： 2023-04-27 18:00</w:t>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微软雅黑" w:hAnsi="微软雅黑" w:eastAsia="微软雅黑" w:cs="微软雅黑"/>
          <w:i w:val="0"/>
          <w:caps w:val="0"/>
          <w:color w:val="000000"/>
          <w:spacing w:val="0"/>
          <w:sz w:val="24"/>
          <w:szCs w:val="24"/>
          <w:shd w:val="clear" w:fill="FFFFFF"/>
        </w:rPr>
        <w:t>　</w:t>
      </w:r>
      <w:r>
        <w:rPr>
          <w:rFonts w:hint="eastAsia" w:ascii="仿宋_GB2312" w:hAnsi="仿宋_GB2312" w:eastAsia="仿宋_GB2312" w:cs="仿宋_GB2312"/>
          <w:i w:val="0"/>
          <w:caps w:val="0"/>
          <w:color w:val="000000"/>
          <w:spacing w:val="0"/>
          <w:sz w:val="32"/>
          <w:szCs w:val="32"/>
          <w:shd w:val="clear" w:fill="FFFFFF"/>
        </w:rPr>
        <w:t>　日前，中央纪委国家监委提级审查调查并指导青海省纪委监委，严肃查处并公开通报了青海省6名党员领导干部在参加青海省党政主要领导干部学习贯彻党的二十大精神培训班期间严重违反中央八项规定精神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经查，2022年12月11日20时至23时许，在青海省举办党政主要领导干部学习贯彻党的二十大精神培训班期间，时任青海省委委员、省政府党组成员、秘书长师存武，组织时任省委委员、省农业农村厅党组书记、厅长李青川，省委委员、省文化和旅游厅党组书记、厅长王学文，省委委员、海北藏族自治州委书记多杰，省国有资产监督管理委员会党委书记、主任洪涛，省交通控股集团有限公司党委书记、董事长陶永利，在省委党校学员宿舍聚餐饮酒，师存武利用职权要求省政府机关食堂为其提供并安排公务车辆运送菜肴，李青川提供8瓶白酒，当晚6人共饮用7瓶白酒。次日，师存武因醉酒缺席省有关会议，一名干部在学员宿舍被发现死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师存武等人身为重要岗位“一把手”，在党的二十大刚刚胜利闭幕，青海省委全面学习宣传贯彻党的二十大精神、举办学习培训班期间，带头违反中央八项规定精神违规聚餐饮酒，造成严重后果和恶劣影响，是罔顾中央三令五申顶风违纪的典型。经党中央批准，决定给予师存武开除党籍、开除公职处分，给予李青川留党察看二年、政务撤职处分，给予王学文撤销党内职务、政务撤职处分。青海省委决定给予洪涛、陶永利留党察看一年、政务撤职处分，并对相关责任单位和人员进行严肃问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制定实施中央八项规</w:t>
      </w:r>
      <w:bookmarkStart w:id="0" w:name="_GoBack"/>
      <w:bookmarkEnd w:id="0"/>
      <w:r>
        <w:rPr>
          <w:rFonts w:hint="eastAsia" w:ascii="仿宋_GB2312" w:hAnsi="仿宋_GB2312" w:eastAsia="仿宋_GB2312" w:cs="仿宋_GB2312"/>
          <w:i w:val="0"/>
          <w:caps w:val="0"/>
          <w:color w:val="000000"/>
          <w:spacing w:val="0"/>
          <w:sz w:val="32"/>
          <w:szCs w:val="32"/>
          <w:shd w:val="clear" w:fill="FFFFFF"/>
        </w:rPr>
        <w:t>定是我们党在新时代的徙木立信之举，必须常抓不懈、久久为功，直至真正化风成俗，以优良党风引领社风民风。从近年来查处案件情况看，违规吃喝问题在各类“四风”问题中反弹风险较高，一些地方和单位仍然存在公款吃喝等问题，顶风违纪现象仍时有发生，隐形变异行为潜滋暗长。上述在学习贯彻党的二十大精神培训班期间违规吃喝问题严重违反中央八项规定精神，是顶风违纪的典型案件，广大党员干部要从中深刻汲取教训，严守纪法红线，以坚强党性保证党的作风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中央纪委国家监委指出，各级党组织要切实落实全面从严治党政治责任，深刻认识中央八项规定精神是长期有效的铁规矩、硬杠杠，享乐奢靡之风禁而未绝，最易败坏风气、伤害民心。要把握作风建设地区性、行业性、阶段性特点，抓住经常发生、反复出现的问题，深化系统施治、纠树并举，推进作风建设常态化长效化，以钉钉子精神纠治群众深恶痛绝、损害党的执政根基的“四风”问题，以优良作风凝心聚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中央纪委国家监委要求，各级纪检监察机关要锲而不舍落实中央八项规定精神，对享乐奢靡歪风、特权思想现象和顶风违纪问题，紧盯不放、寸步不让、露头就查，坚决防反弹回潮、防隐形变异、防疲劳厌战；要严肃查处违规吃喝背后的腐败问题，加强对“一把手”落实中央八项规定精神的监督，坚决反对特权思想和特权现象，推动“一把手”严于律己、严负其责、严管所辖，引领广大党员干部不断将党的作风建设引向深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1131B9"/>
    <w:rsid w:val="14F65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2023-04-28T02:49:00Z</dcterms:created>
  <dc:creator>Lenovo</dc:creator>
  <cp:lastModifiedBy>唐艳</cp:lastModifiedBy>
  <dcterms:modified xsi:type="dcterms:W3CDTF">2023-04-28T02:50:48Z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