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8BA2B1AE">
      <w:pPr>
        <w:pStyle w:val="style94"/>
        <w:shd w:val="clear" w:color="auto" w:fill="ffffff"/>
        <w:spacing w:before="0" w:beforeAutospacing="false" w:after="150" w:afterAutospacing="false" w:lineRule="atLeast" w:line="420"/>
        <w:ind w:left="480"/>
        <w:jc w:val="center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</w:rPr>
        <w:t>福建船政交通职业学院</w:t>
      </w:r>
      <w:r>
        <w:rPr>
          <w:rFonts w:hint="eastAsia"/>
          <w:b/>
          <w:sz w:val="32"/>
          <w:szCs w:val="32"/>
          <w:lang w:val="en-US" w:eastAsia="zh-CN"/>
        </w:rPr>
        <w:t>第十七届体育节</w:t>
      </w:r>
    </w:p>
    <w:p w14:paraId="89290875">
      <w:pPr>
        <w:pStyle w:val="style94"/>
        <w:shd w:val="clear" w:color="auto" w:fill="ffffff"/>
        <w:spacing w:before="0" w:beforeAutospacing="false" w:after="150" w:afterAutospacing="false" w:lineRule="atLeast" w:line="420"/>
        <w:ind w:left="48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“船政杯”</w:t>
      </w:r>
      <w:r>
        <w:rPr>
          <w:rFonts w:hint="eastAsia"/>
          <w:b/>
          <w:sz w:val="32"/>
          <w:szCs w:val="32"/>
        </w:rPr>
        <w:t>跳绳比赛竞赛规程</w:t>
      </w:r>
    </w:p>
    <w:p w14:paraId="0316D44E">
      <w:pPr>
        <w:pStyle w:val="style94"/>
        <w:shd w:val="clear" w:color="auto" w:fill="ffffff"/>
        <w:spacing w:before="0" w:beforeAutospacing="false" w:after="150" w:afterAutospacing="false" w:lineRule="atLeast" w:line="420"/>
        <w:ind w:firstLine="560" w:firstLineChars="200"/>
        <w:rPr>
          <w:rFonts w:hint="eastAsia"/>
          <w:sz w:val="32"/>
          <w:szCs w:val="32"/>
        </w:rPr>
      </w:pPr>
      <w:r>
        <w:rPr>
          <w:sz w:val="28"/>
          <w:szCs w:val="28"/>
        </w:rPr>
        <w:t>为</w:t>
      </w:r>
      <w:r>
        <w:rPr>
          <w:rFonts w:hint="eastAsia"/>
          <w:sz w:val="28"/>
          <w:szCs w:val="28"/>
          <w:lang w:val="en-US" w:eastAsia="zh-CN"/>
        </w:rPr>
        <w:t>学习贯彻党的教育方针，为</w:t>
      </w:r>
      <w:r>
        <w:rPr>
          <w:sz w:val="28"/>
          <w:szCs w:val="28"/>
        </w:rPr>
        <w:t>丰富校园文化生活，推动我院</w:t>
      </w:r>
      <w:r>
        <w:rPr>
          <w:rFonts w:hint="eastAsia"/>
          <w:sz w:val="28"/>
          <w:szCs w:val="28"/>
        </w:rPr>
        <w:t>跳绳</w:t>
      </w:r>
      <w:r>
        <w:rPr>
          <w:sz w:val="28"/>
          <w:szCs w:val="28"/>
        </w:rPr>
        <w:t>运动的发展，促进学生积极参加课外体育锻炼，提高我院</w:t>
      </w:r>
      <w:r>
        <w:rPr>
          <w:rFonts w:hint="eastAsia"/>
          <w:sz w:val="28"/>
          <w:szCs w:val="28"/>
        </w:rPr>
        <w:t>跳绳</w:t>
      </w:r>
      <w:r>
        <w:rPr>
          <w:sz w:val="28"/>
          <w:szCs w:val="28"/>
        </w:rPr>
        <w:t>运动水平，使广大</w:t>
      </w:r>
      <w:r>
        <w:rPr>
          <w:rFonts w:hint="eastAsia"/>
          <w:sz w:val="28"/>
          <w:szCs w:val="28"/>
        </w:rPr>
        <w:t>跳绳</w:t>
      </w:r>
      <w:r>
        <w:rPr>
          <w:sz w:val="28"/>
          <w:szCs w:val="28"/>
        </w:rPr>
        <w:t>爱好者有一个发挥的平台，经学院体育运动委员会研究，决定于202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年</w:t>
      </w:r>
      <w:r>
        <w:rPr>
          <w:sz w:val="28"/>
          <w:szCs w:val="28"/>
          <w:lang w:val="en-US"/>
        </w:rPr>
        <w:t>5</w:t>
      </w:r>
      <w:r>
        <w:rPr>
          <w:sz w:val="28"/>
          <w:szCs w:val="28"/>
        </w:rPr>
        <w:t>月</w:t>
      </w:r>
      <w:r>
        <w:rPr>
          <w:sz w:val="28"/>
          <w:szCs w:val="28"/>
          <w:lang w:val="en-US"/>
        </w:rPr>
        <w:t>7</w:t>
      </w:r>
      <w:r>
        <w:rPr>
          <w:sz w:val="28"/>
          <w:szCs w:val="28"/>
        </w:rPr>
        <w:t>日举办</w:t>
      </w:r>
      <w:r>
        <w:rPr>
          <w:rFonts w:hint="eastAsia"/>
          <w:sz w:val="28"/>
          <w:szCs w:val="28"/>
        </w:rPr>
        <w:t>跳绳</w:t>
      </w:r>
      <w:r>
        <w:rPr>
          <w:sz w:val="28"/>
          <w:szCs w:val="28"/>
        </w:rPr>
        <w:t>比</w:t>
      </w:r>
      <w:r>
        <w:rPr>
          <w:sz w:val="30"/>
          <w:szCs w:val="30"/>
        </w:rPr>
        <w:t>赛。</w:t>
      </w:r>
    </w:p>
    <w:p w14:paraId="5AE59978">
      <w:pPr>
        <w:pStyle w:val="style0"/>
        <w:widowControl/>
        <w:ind w:right="884"/>
        <w:textAlignment w:val="baseline"/>
        <w:rPr>
          <w:sz w:val="28"/>
          <w:szCs w:val="28"/>
        </w:rPr>
      </w:pPr>
      <w:r>
        <w:rPr>
          <w:b/>
          <w:sz w:val="28"/>
          <w:szCs w:val="28"/>
        </w:rPr>
        <w:t>一、主办单位</w:t>
      </w:r>
    </w:p>
    <w:p w14:paraId="21225811">
      <w:pPr>
        <w:pStyle w:val="style0"/>
        <w:widowControl/>
        <w:ind w:right="884" w:firstLine="552"/>
        <w:textAlignment w:val="baseline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>福建船政交通职业学院体育运动委员会</w:t>
      </w:r>
    </w:p>
    <w:p w14:paraId="AB05FAE1">
      <w:pPr>
        <w:pStyle w:val="style0"/>
        <w:widowControl/>
        <w:ind w:right="884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二、承办单位</w:t>
      </w:r>
    </w:p>
    <w:p w14:paraId="95B81466">
      <w:pPr>
        <w:pStyle w:val="style0"/>
        <w:widowControl/>
        <w:ind w:right="884" w:firstLine="552"/>
        <w:textAlignment w:val="baseline"/>
        <w:rPr>
          <w:sz w:val="28"/>
          <w:szCs w:val="28"/>
        </w:rPr>
      </w:pPr>
      <w:r>
        <w:rPr>
          <w:sz w:val="28"/>
          <w:szCs w:val="28"/>
        </w:rPr>
        <w:t>通识教育学院体育教研部</w:t>
      </w:r>
    </w:p>
    <w:p w14:paraId="37FA514C">
      <w:pPr>
        <w:pStyle w:val="style0"/>
        <w:widowControl/>
        <w:ind w:right="884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三、协办单位</w:t>
      </w:r>
    </w:p>
    <w:p w14:paraId="8124C337">
      <w:pPr>
        <w:pStyle w:val="style0"/>
        <w:widowControl/>
        <w:ind w:right="884" w:firstLine="560" w:firstLineChars="200"/>
        <w:textAlignment w:val="baseline"/>
        <w:rPr>
          <w:sz w:val="28"/>
          <w:szCs w:val="28"/>
        </w:rPr>
      </w:pPr>
      <w:r>
        <w:rPr>
          <w:sz w:val="28"/>
          <w:szCs w:val="28"/>
        </w:rPr>
        <w:t>福建船政交通职业学院</w:t>
      </w:r>
      <w:r>
        <w:rPr>
          <w:rFonts w:hint="eastAsia"/>
          <w:sz w:val="28"/>
          <w:szCs w:val="28"/>
        </w:rPr>
        <w:t>花样跳绳</w:t>
      </w:r>
      <w:r>
        <w:rPr>
          <w:sz w:val="28"/>
          <w:szCs w:val="28"/>
        </w:rPr>
        <w:t>俱乐部</w:t>
      </w:r>
    </w:p>
    <w:p w14:paraId="13DB59C7">
      <w:pPr>
        <w:pStyle w:val="style0"/>
        <w:widowControl/>
        <w:ind w:right="884"/>
        <w:textAlignment w:val="baseline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四、参赛单位</w:t>
      </w:r>
    </w:p>
    <w:p w14:paraId="BC43FF0F">
      <w:pPr>
        <w:pStyle w:val="style0"/>
        <w:widowControl/>
        <w:ind w:right="884"/>
        <w:textAlignment w:val="baseline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color w:val="c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安全与环境学院、轨道交通学院、航海学院、经济与管理学院、机械与智能制造学院、汽车学院、土木工程学院、通用航空产业学院、信息与智慧交通学院</w:t>
      </w:r>
    </w:p>
    <w:p w14:paraId="9B1DB156">
      <w:pPr>
        <w:pStyle w:val="style0"/>
        <w:widowControl/>
        <w:ind w:right="884"/>
        <w:textAlignment w:val="baseline"/>
        <w:rPr>
          <w:b/>
          <w:bCs/>
          <w:color w:val="000000"/>
          <w:kern w:val="0"/>
          <w:sz w:val="28"/>
          <w:szCs w:val="28"/>
        </w:rPr>
      </w:pPr>
      <w:r>
        <w:rPr>
          <w:b/>
          <w:bCs/>
          <w:color w:val="000000"/>
          <w:kern w:val="0"/>
          <w:sz w:val="28"/>
          <w:szCs w:val="28"/>
        </w:rPr>
        <w:t>五、竞赛日期</w:t>
      </w:r>
    </w:p>
    <w:p w14:paraId="BFFD6679">
      <w:pPr>
        <w:pStyle w:val="style0"/>
        <w:widowControl/>
        <w:ind w:right="884"/>
        <w:textAlignment w:val="baseline"/>
        <w:rPr>
          <w:rFonts w:eastAsia="等线" w:hint="default"/>
          <w:sz w:val="28"/>
          <w:szCs w:val="28"/>
          <w:lang w:val="en-US" w:eastAsia="zh-CN"/>
        </w:rPr>
      </w:pPr>
      <w:r>
        <w:rPr>
          <w:b/>
          <w:bCs/>
          <w:color w:val="000000"/>
          <w:kern w:val="0"/>
          <w:sz w:val="28"/>
          <w:szCs w:val="28"/>
        </w:rPr>
        <w:t xml:space="preserve">    </w:t>
      </w:r>
      <w:r>
        <w:rPr>
          <w:color w:val="000000"/>
          <w:kern w:val="0"/>
          <w:sz w:val="28"/>
          <w:szCs w:val="28"/>
        </w:rPr>
        <w:t>202</w:t>
      </w:r>
      <w:r>
        <w:rPr>
          <w:rFonts w:hint="eastAsia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ascii="宋体" w:hAnsi="宋体"/>
          <w:color w:val="000000"/>
          <w:kern w:val="0"/>
          <w:sz w:val="28"/>
          <w:szCs w:val="28"/>
        </w:rPr>
        <w:t>年</w:t>
      </w:r>
      <w:r>
        <w:rPr>
          <w:rFonts w:ascii="宋体" w:hAnsi="宋体"/>
          <w:color w:val="000000"/>
          <w:kern w:val="0"/>
          <w:sz w:val="28"/>
          <w:szCs w:val="28"/>
          <w:lang w:val="en-US"/>
        </w:rPr>
        <w:t>5</w:t>
      </w:r>
      <w:r>
        <w:rPr>
          <w:rFonts w:ascii="宋体" w:hAnsi="宋体"/>
          <w:color w:val="000000"/>
          <w:kern w:val="0"/>
          <w:sz w:val="28"/>
          <w:szCs w:val="28"/>
        </w:rPr>
        <w:t>月</w:t>
      </w:r>
      <w:r>
        <w:rPr>
          <w:rFonts w:ascii="宋体" w:hAnsi="宋体"/>
          <w:color w:val="000000"/>
          <w:kern w:val="0"/>
          <w:sz w:val="28"/>
          <w:szCs w:val="28"/>
          <w:lang w:val="en-US"/>
        </w:rPr>
        <w:t>7</w:t>
      </w:r>
      <w:r>
        <w:rPr>
          <w:rFonts w:ascii="宋体" w:hAnsi="宋体"/>
          <w:color w:val="000000"/>
          <w:kern w:val="0"/>
          <w:sz w:val="28"/>
          <w:szCs w:val="28"/>
        </w:rPr>
        <w:t>日</w:t>
      </w:r>
      <w:r>
        <w:rPr>
          <w:rFonts w:ascii="宋体" w:hAnsi="宋体" w:hint="eastAsia"/>
          <w:color w:val="000000"/>
          <w:kern w:val="0"/>
          <w:sz w:val="28"/>
          <w:szCs w:val="28"/>
          <w:lang w:val="en-US" w:eastAsia="zh-CN"/>
        </w:rPr>
        <w:t>下午2：00</w:t>
      </w:r>
    </w:p>
    <w:p w14:paraId="5B744C98">
      <w:pPr>
        <w:pStyle w:val="style0"/>
        <w:widowControl/>
        <w:ind w:right="884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六、比赛地点</w:t>
      </w:r>
    </w:p>
    <w:p w14:paraId="84CE5F4C">
      <w:pPr>
        <w:pStyle w:val="style0"/>
        <w:widowControl/>
        <w:ind w:right="884" w:firstLine="560" w:firstLineChars="200"/>
        <w:textAlignment w:val="baseline"/>
        <w:rPr>
          <w:rFonts w:eastAsia="等线" w:hint="eastAsia"/>
          <w:sz w:val="28"/>
          <w:szCs w:val="28"/>
          <w:lang w:val="en-US" w:eastAsia="zh-CN"/>
        </w:rPr>
      </w:pPr>
      <w:r>
        <w:rPr>
          <w:sz w:val="28"/>
          <w:szCs w:val="28"/>
        </w:rPr>
        <w:t>福建船政交通职业学院北区</w:t>
      </w:r>
      <w:r>
        <w:rPr>
          <w:rFonts w:hint="eastAsia"/>
          <w:sz w:val="28"/>
          <w:szCs w:val="28"/>
          <w:lang w:val="en-US" w:eastAsia="zh-CN"/>
        </w:rPr>
        <w:t>田径场</w:t>
      </w:r>
    </w:p>
    <w:p w14:paraId="571E0238">
      <w:pPr>
        <w:pStyle w:val="style0"/>
        <w:widowControl/>
        <w:ind w:right="884"/>
        <w:textAlignment w:val="baseline"/>
        <w:rPr>
          <w:b/>
          <w:sz w:val="28"/>
          <w:szCs w:val="28"/>
        </w:rPr>
      </w:pPr>
    </w:p>
    <w:p w14:paraId="D22C2463">
      <w:pPr>
        <w:pStyle w:val="style0"/>
        <w:widowControl/>
        <w:ind w:right="884"/>
        <w:textAlignment w:val="baseline"/>
        <w:rPr>
          <w:b/>
          <w:sz w:val="28"/>
          <w:szCs w:val="28"/>
        </w:rPr>
      </w:pPr>
    </w:p>
    <w:p w14:paraId="27B28995">
      <w:pPr>
        <w:pStyle w:val="style0"/>
        <w:widowControl/>
        <w:ind w:right="884"/>
        <w:textAlignment w:val="baseline"/>
        <w:rPr>
          <w:rFonts w:hint="eastAsia"/>
          <w:sz w:val="28"/>
          <w:szCs w:val="28"/>
        </w:rPr>
      </w:pPr>
      <w:r>
        <w:rPr>
          <w:b/>
          <w:sz w:val="28"/>
          <w:szCs w:val="28"/>
        </w:rPr>
        <w:t>七、竞赛项目</w:t>
      </w:r>
    </w:p>
    <w:p w14:paraId="327C9999">
      <w:pPr>
        <w:pStyle w:val="style94"/>
        <w:keepNext w:val="false"/>
        <w:keepLines w:val="false"/>
        <w:pageBreakBefore w:val="false"/>
        <w:widowControl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auto" w:line="240"/>
        <w:ind w:left="0" w:firstLine="0" w:firstLineChars="0"/>
        <w:textAlignment w:val="auto"/>
        <w:rPr>
          <w:sz w:val="28"/>
          <w:szCs w:val="28"/>
        </w:rPr>
      </w:pPr>
      <w:r>
        <w:rPr>
          <w:sz w:val="28"/>
          <w:szCs w:val="28"/>
        </w:rPr>
        <w:t>　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一</w:t>
      </w:r>
      <w:r>
        <w:rPr>
          <w:rFonts w:hint="eastAsia"/>
          <w:sz w:val="28"/>
          <w:szCs w:val="28"/>
        </w:rPr>
        <w:t>分钟</w:t>
      </w:r>
      <w:r>
        <w:rPr>
          <w:sz w:val="28"/>
          <w:szCs w:val="28"/>
        </w:rPr>
        <w:t>单摇跳绳</w:t>
      </w:r>
    </w:p>
    <w:p w14:paraId="A02DE6F2">
      <w:pPr>
        <w:pStyle w:val="style94"/>
        <w:keepNext w:val="false"/>
        <w:keepLines w:val="false"/>
        <w:pageBreakBefore w:val="false"/>
        <w:widowControl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auto" w:line="240"/>
        <w:ind w:firstLine="280" w:firstLineChars="100"/>
        <w:textAlignment w:val="auto"/>
        <w:rPr>
          <w:rFonts w:hint="eastAsia"/>
          <w:sz w:val="28"/>
          <w:szCs w:val="28"/>
        </w:rPr>
      </w:pPr>
      <w:r>
        <w:rPr>
          <w:sz w:val="28"/>
          <w:szCs w:val="28"/>
        </w:rPr>
        <w:t>2、30秒双摇跳绳</w:t>
      </w:r>
    </w:p>
    <w:p w14:paraId="977BF798">
      <w:pPr>
        <w:pStyle w:val="style0"/>
        <w:widowControl/>
        <w:ind w:right="884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八、参赛运动员资格</w:t>
      </w:r>
    </w:p>
    <w:p w14:paraId="287D0A29">
      <w:pPr>
        <w:pStyle w:val="style0"/>
        <w:widowControl/>
        <w:ind w:firstLine="420" w:firstLineChars="150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参赛人员为</w:t>
      </w:r>
      <w:r>
        <w:rPr>
          <w:rFonts w:hint="eastAsia"/>
          <w:sz w:val="28"/>
          <w:szCs w:val="28"/>
          <w:lang w:val="en-US" w:eastAsia="zh-CN"/>
        </w:rPr>
        <w:t>注册在籍且</w:t>
      </w:r>
      <w:r>
        <w:rPr>
          <w:sz w:val="28"/>
          <w:szCs w:val="28"/>
        </w:rPr>
        <w:t>身体健康，适于</w:t>
      </w:r>
      <w:r>
        <w:rPr>
          <w:rFonts w:hint="eastAsia"/>
          <w:sz w:val="28"/>
          <w:szCs w:val="28"/>
        </w:rPr>
        <w:t>跳绳</w:t>
      </w:r>
      <w:r>
        <w:rPr>
          <w:sz w:val="28"/>
          <w:szCs w:val="28"/>
        </w:rPr>
        <w:t>运动的学生。</w:t>
      </w:r>
    </w:p>
    <w:p w14:paraId="9F43B20A">
      <w:pPr>
        <w:pStyle w:val="style0"/>
        <w:widowControl/>
        <w:ind w:right="884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九、参赛方法</w:t>
      </w:r>
    </w:p>
    <w:p w14:paraId="2E0ADEED">
      <w:pPr>
        <w:pStyle w:val="style94"/>
        <w:shd w:val="clear" w:color="auto" w:fill="ffffff"/>
        <w:spacing w:before="0" w:beforeAutospacing="false" w:after="150" w:afterAutospacing="false" w:lineRule="atLeast" w:line="420"/>
        <w:ind w:firstLine="560" w:firstLineChars="200"/>
        <w:rPr>
          <w:rStyle w:val="style4097"/>
          <w:color w:val="000000"/>
          <w:sz w:val="28"/>
          <w:szCs w:val="28"/>
        </w:rPr>
      </w:pPr>
      <w:r>
        <w:rPr>
          <w:rFonts w:cs="Arial" w:hint="eastAsia"/>
          <w:sz w:val="28"/>
          <w:szCs w:val="28"/>
        </w:rPr>
        <w:t>以学院为单位组队参加，每队报领队1人，教练员1人</w:t>
      </w:r>
      <w:r>
        <w:rPr>
          <w:rStyle w:val="style4097"/>
          <w:color w:val="000000"/>
          <w:sz w:val="28"/>
          <w:szCs w:val="28"/>
        </w:rPr>
        <w:t>，</w:t>
      </w:r>
      <w:r>
        <w:rPr>
          <w:rFonts w:cs="Arial" w:hint="eastAsia"/>
          <w:sz w:val="28"/>
          <w:szCs w:val="28"/>
        </w:rPr>
        <w:t>单摇</w:t>
      </w:r>
      <w:r>
        <w:rPr>
          <w:rFonts w:cs="Arial"/>
          <w:sz w:val="28"/>
          <w:szCs w:val="28"/>
        </w:rPr>
        <w:t>、双摇</w:t>
      </w:r>
      <w:r>
        <w:rPr>
          <w:rFonts w:cs="Arial" w:hint="eastAsia"/>
          <w:sz w:val="28"/>
          <w:szCs w:val="28"/>
        </w:rPr>
        <w:t>项目分</w:t>
      </w:r>
      <w:r>
        <w:rPr>
          <w:rFonts w:cs="Arial"/>
          <w:sz w:val="28"/>
          <w:szCs w:val="28"/>
        </w:rPr>
        <w:t>男子、女子组，每个组别</w:t>
      </w:r>
      <w:r>
        <w:rPr>
          <w:rFonts w:cs="Arial" w:hint="eastAsia"/>
          <w:sz w:val="28"/>
          <w:szCs w:val="28"/>
        </w:rPr>
        <w:t>每个</w:t>
      </w:r>
      <w:r>
        <w:rPr>
          <w:rFonts w:cs="Arial"/>
          <w:sz w:val="28"/>
          <w:szCs w:val="28"/>
        </w:rPr>
        <w:t>项目</w:t>
      </w:r>
      <w:r>
        <w:rPr>
          <w:rFonts w:cs="Arial" w:hint="eastAsia"/>
          <w:sz w:val="28"/>
          <w:szCs w:val="28"/>
        </w:rPr>
        <w:t>限报5人。所有</w:t>
      </w:r>
      <w:r>
        <w:rPr>
          <w:rFonts w:cs="Arial"/>
          <w:sz w:val="28"/>
          <w:szCs w:val="28"/>
        </w:rPr>
        <w:t>运动员</w:t>
      </w:r>
      <w:r>
        <w:rPr>
          <w:rFonts w:cs="Arial" w:hint="eastAsia"/>
          <w:sz w:val="28"/>
          <w:szCs w:val="28"/>
        </w:rPr>
        <w:t>每人限报2项</w:t>
      </w:r>
      <w:r>
        <w:rPr>
          <w:rFonts w:cs="Arial" w:hint="eastAsia"/>
          <w:sz w:val="28"/>
          <w:szCs w:val="28"/>
          <w:lang w:eastAsia="zh-CN"/>
        </w:rPr>
        <w:t>。</w:t>
      </w:r>
      <w:r>
        <w:rPr>
          <w:rStyle w:val="style4097"/>
          <w:color w:val="000000"/>
          <w:sz w:val="28"/>
          <w:szCs w:val="28"/>
        </w:rPr>
        <w:t>报名表需盖有二级学院公章，并注明联系方式，</w:t>
      </w:r>
      <w:r>
        <w:rPr>
          <w:rStyle w:val="style4097"/>
          <w:rFonts w:hint="eastAsia"/>
          <w:color w:val="000000"/>
          <w:sz w:val="28"/>
          <w:szCs w:val="28"/>
        </w:rPr>
        <w:t>报名表于</w:t>
      </w:r>
      <w:r>
        <w:rPr>
          <w:rFonts w:hint="eastAsia"/>
          <w:sz w:val="28"/>
          <w:szCs w:val="28"/>
        </w:rPr>
        <w:t>20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18</w:t>
      </w:r>
      <w:r>
        <w:rPr>
          <w:rFonts w:hint="eastAsia"/>
          <w:sz w:val="28"/>
          <w:szCs w:val="28"/>
        </w:rPr>
        <w:t>日下午17：00前</w:t>
      </w:r>
      <w:r>
        <w:rPr>
          <w:rStyle w:val="style4097"/>
          <w:color w:val="000000"/>
          <w:sz w:val="28"/>
          <w:szCs w:val="28"/>
        </w:rPr>
        <w:t>将电子档报名表发</w:t>
      </w:r>
      <w:r>
        <w:rPr>
          <w:rStyle w:val="style4097"/>
          <w:rFonts w:hint="eastAsia"/>
          <w:color w:val="000000"/>
          <w:sz w:val="28"/>
          <w:szCs w:val="28"/>
        </w:rPr>
        <w:t>至</w:t>
      </w:r>
      <w:r>
        <w:rPr>
          <w:rStyle w:val="style4097"/>
          <w:color w:val="000000"/>
          <w:sz w:val="28"/>
          <w:szCs w:val="28"/>
        </w:rPr>
        <w:t>黄艳老师邮箱3426245@qq.com，逾期按自动弃权处理。</w:t>
      </w:r>
    </w:p>
    <w:p w14:paraId="5CEDD9C2">
      <w:pPr>
        <w:pStyle w:val="style0"/>
        <w:widowControl/>
        <w:numPr>
          <w:ilvl w:val="0"/>
          <w:numId w:val="1"/>
        </w:numPr>
        <w:ind w:right="884"/>
        <w:textAlignment w:val="baseline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比赛</w:t>
      </w:r>
      <w:r>
        <w:rPr>
          <w:b/>
          <w:sz w:val="28"/>
          <w:szCs w:val="28"/>
        </w:rPr>
        <w:t>规则</w:t>
      </w:r>
    </w:p>
    <w:p w14:paraId="4F5E5D24">
      <w:pPr>
        <w:pStyle w:val="style94"/>
        <w:shd w:val="clear" w:color="auto" w:fill="ffffff"/>
        <w:spacing w:before="0" w:beforeAutospacing="false" w:after="150" w:afterAutospacing="false" w:lineRule="auto" w:line="360"/>
        <w:rPr>
          <w:rFonts w:cs="Arial" w:hint="eastAsia"/>
          <w:sz w:val="28"/>
          <w:szCs w:val="28"/>
        </w:rPr>
      </w:pPr>
      <w:r>
        <w:rPr>
          <w:rFonts w:hint="eastAsia"/>
          <w:sz w:val="28"/>
          <w:szCs w:val="28"/>
        </w:rPr>
        <w:t>1、比赛按国家体育总局社会体育指导中心最新审定的《中国跳绳运动竞赛规则》（试行）执行。</w:t>
      </w:r>
    </w:p>
    <w:p w14:paraId="19A4EA3D">
      <w:pPr>
        <w:pStyle w:val="style94"/>
        <w:shd w:val="clear" w:color="auto" w:fill="ffffff"/>
        <w:spacing w:before="0" w:beforeAutospacing="false" w:after="150" w:afterAutospacing="false" w:lineRule="auto" w:line="360"/>
        <w:rPr>
          <w:rFonts w:cs="Arial" w:hint="eastAsia"/>
          <w:sz w:val="28"/>
          <w:szCs w:val="28"/>
        </w:rPr>
      </w:pPr>
      <w:r>
        <w:rPr>
          <w:rFonts w:cs="Arial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CN"/>
        </w:rPr>
        <w:t>比赛项目</w:t>
      </w:r>
      <w:r>
        <w:rPr>
          <w:rFonts w:cs="Arial"/>
          <w:sz w:val="28"/>
          <w:szCs w:val="28"/>
        </w:rPr>
        <w:t>直接进行预决</w:t>
      </w:r>
      <w:r>
        <w:rPr>
          <w:rFonts w:cs="Arial" w:hint="eastAsia"/>
          <w:sz w:val="28"/>
          <w:szCs w:val="28"/>
        </w:rPr>
        <w:t>赛</w:t>
      </w:r>
    </w:p>
    <w:p w14:paraId="2D59CE93">
      <w:pPr>
        <w:pStyle w:val="style94"/>
        <w:shd w:val="clear" w:color="auto" w:fill="ffffff"/>
        <w:spacing w:before="0" w:beforeAutospacing="false" w:after="150" w:afterAutospacing="false" w:lineRule="auto" w:line="36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、比赛开始与结束以口令或鸣哨为信号。计时员发出“运动员准备”指令后，所有参赛运动员就位；所有参赛运动员做好跳绳准备，单绳项目的选手双手持绳于身侧，发出指令“跳”后，开始</w:t>
      </w:r>
      <w:r>
        <w:rPr>
          <w:sz w:val="28"/>
          <w:szCs w:val="28"/>
        </w:rPr>
        <w:t>比赛</w:t>
      </w:r>
      <w:r>
        <w:rPr>
          <w:rFonts w:hint="eastAsia"/>
          <w:sz w:val="28"/>
          <w:szCs w:val="28"/>
        </w:rPr>
        <w:t>。</w:t>
      </w:r>
    </w:p>
    <w:p w14:paraId="163F438D">
      <w:pPr>
        <w:pStyle w:val="style94"/>
        <w:shd w:val="clear" w:color="auto" w:fill="ffffff"/>
        <w:spacing w:before="0" w:beforeAutospacing="false" w:after="150" w:afterAutospacing="false" w:lineRule="auto" w:line="36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4</w:t>
      </w:r>
      <w:r>
        <w:rPr>
          <w:rFonts w:cs="Arial" w:hint="eastAsia"/>
          <w:sz w:val="28"/>
          <w:szCs w:val="28"/>
        </w:rPr>
        <w:t>、运动员跳绳姿势应是正确的，用前脚掌跳动。</w:t>
      </w:r>
    </w:p>
    <w:p w14:paraId="DFCB8BE9">
      <w:pPr>
        <w:pStyle w:val="style94"/>
        <w:shd w:val="clear" w:color="auto" w:fill="ffffff"/>
        <w:spacing w:before="0" w:beforeAutospacing="false" w:after="150" w:afterAutospacing="false" w:lineRule="auto" w:line="360"/>
        <w:ind w:firstLine="560" w:firstLineChars="200"/>
        <w:rPr>
          <w:rFonts w:cs="Arial"/>
          <w:sz w:val="28"/>
          <w:szCs w:val="28"/>
        </w:rPr>
      </w:pPr>
      <w:r>
        <w:rPr>
          <w:rFonts w:cs="Arial" w:hint="eastAsia"/>
          <w:sz w:val="28"/>
          <w:szCs w:val="28"/>
        </w:rPr>
        <w:t>单摇跳绳：可采用双脚跳或左右脚交替跳，且比赛过程中只能保持一种跳绳姿势。</w:t>
      </w:r>
    </w:p>
    <w:p w14:paraId="4553A555">
      <w:pPr>
        <w:pStyle w:val="style94"/>
        <w:shd w:val="clear" w:color="auto" w:fill="ffffff"/>
        <w:spacing w:before="0" w:beforeAutospacing="false" w:after="150" w:afterAutospacing="false" w:lineRule="auto" w:line="360"/>
        <w:ind w:firstLine="560" w:firstLineChars="200"/>
        <w:rPr>
          <w:rFonts w:cs="Arial"/>
          <w:sz w:val="28"/>
          <w:szCs w:val="28"/>
        </w:rPr>
      </w:pPr>
      <w:r>
        <w:rPr>
          <w:rFonts w:cs="Arial" w:hint="eastAsia"/>
          <w:sz w:val="28"/>
          <w:szCs w:val="28"/>
        </w:rPr>
        <w:t>双摇跳绳</w:t>
      </w:r>
      <w:r>
        <w:rPr>
          <w:rFonts w:hint="eastAsia"/>
          <w:sz w:val="28"/>
          <w:szCs w:val="28"/>
        </w:rPr>
        <w:t>：运动员跳起1次，双手摇绳，绳越过头顶通过脚下绕身体两周（720度），称作双摇跳，计次数1次，在规定时间内累积计数，</w:t>
      </w:r>
      <w:r>
        <w:rPr>
          <w:rFonts w:cs="Arial" w:hint="eastAsia"/>
          <w:sz w:val="28"/>
          <w:szCs w:val="28"/>
        </w:rPr>
        <w:t>不能从单摇跳过渡到双脚跳，否则成绩无效。</w:t>
      </w:r>
    </w:p>
    <w:p w14:paraId="A8B73489">
      <w:pPr>
        <w:pStyle w:val="style94"/>
        <w:shd w:val="clear" w:color="auto" w:fill="ffffff"/>
        <w:spacing w:before="0" w:beforeAutospacing="false" w:after="150" w:afterAutospacing="false" w:lineRule="auto" w:line="360"/>
        <w:rPr>
          <w:rFonts w:cs="Arial" w:hint="eastAsia"/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、犯规及判罚</w:t>
      </w:r>
    </w:p>
    <w:p w14:paraId="CAF117DD">
      <w:pPr>
        <w:pStyle w:val="style0"/>
        <w:spacing w:lineRule="auto" w:line="360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在“开始”口令未下达前出现摇绳或抢跳，在本轮</w:t>
      </w:r>
      <w:r>
        <w:rPr>
          <w:rFonts w:ascii="宋体" w:hAnsi="宋体"/>
          <w:sz w:val="28"/>
          <w:szCs w:val="28"/>
        </w:rPr>
        <w:t>比赛结束后，每抢跳一人次，在应</w:t>
      </w:r>
      <w:r>
        <w:rPr>
          <w:rFonts w:ascii="宋体" w:hAnsi="宋体" w:hint="eastAsia"/>
          <w:sz w:val="28"/>
          <w:szCs w:val="28"/>
        </w:rPr>
        <w:t>得</w:t>
      </w:r>
      <w:r>
        <w:rPr>
          <w:rFonts w:ascii="宋体" w:hAnsi="宋体"/>
          <w:sz w:val="28"/>
          <w:szCs w:val="28"/>
        </w:rPr>
        <w:t>的成绩次数中扣除</w:t>
      </w:r>
      <w:r>
        <w:rPr>
          <w:rFonts w:ascii="宋体" w:hAnsi="宋体" w:hint="eastAsia"/>
          <w:sz w:val="28"/>
          <w:szCs w:val="28"/>
        </w:rPr>
        <w:t>10个。</w:t>
      </w:r>
    </w:p>
    <w:p w14:paraId="AFDC4742">
      <w:pPr>
        <w:pStyle w:val="style0"/>
        <w:spacing w:lineRule="auto" w:line="360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单摇、双摇速度赛：如运动员踩线或出界，运动员须暂停比赛，让其回到比赛</w:t>
      </w:r>
      <w:r>
        <w:rPr>
          <w:rFonts w:ascii="宋体" w:hAnsi="宋体"/>
          <w:sz w:val="28"/>
          <w:szCs w:val="28"/>
        </w:rPr>
        <w:t>场地内</w:t>
      </w:r>
      <w:r>
        <w:rPr>
          <w:rFonts w:ascii="宋体" w:hAnsi="宋体" w:hint="eastAsia"/>
          <w:sz w:val="28"/>
          <w:szCs w:val="28"/>
        </w:rPr>
        <w:t>继续比赛，计数从运动员回到比赛场地后继续开始比赛，</w:t>
      </w:r>
      <w:r>
        <w:rPr>
          <w:rFonts w:ascii="宋体" w:hAnsi="宋体"/>
          <w:sz w:val="28"/>
          <w:szCs w:val="28"/>
        </w:rPr>
        <w:t>计时不停止。</w:t>
      </w:r>
    </w:p>
    <w:p w14:paraId="4A1E4176">
      <w:pPr>
        <w:pStyle w:val="style0"/>
        <w:widowControl/>
        <w:ind w:right="884"/>
        <w:textAlignment w:val="baseline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>十</w:t>
      </w:r>
      <w:r>
        <w:rPr>
          <w:rFonts w:hint="eastAsia"/>
          <w:b/>
          <w:sz w:val="28"/>
          <w:szCs w:val="28"/>
        </w:rPr>
        <w:t>一</w:t>
      </w:r>
      <w:r>
        <w:rPr>
          <w:b/>
          <w:sz w:val="28"/>
          <w:szCs w:val="28"/>
        </w:rPr>
        <w:t>﹑</w:t>
      </w:r>
      <w:r>
        <w:rPr>
          <w:rFonts w:hint="eastAsia"/>
          <w:b/>
          <w:sz w:val="28"/>
          <w:szCs w:val="28"/>
        </w:rPr>
        <w:t>录取</w:t>
      </w:r>
      <w:r>
        <w:rPr>
          <w:b/>
          <w:sz w:val="28"/>
          <w:szCs w:val="28"/>
        </w:rPr>
        <w:t>名次办法：</w:t>
      </w:r>
    </w:p>
    <w:p w14:paraId="6297902F">
      <w:pPr>
        <w:pStyle w:val="style94"/>
        <w:shd w:val="clear" w:color="auto" w:fill="ffffff"/>
        <w:spacing w:before="0" w:beforeAutospacing="false" w:after="150" w:afterAutospacing="false" w:lineRule="atLeast" w:line="420"/>
        <w:rPr>
          <w:rFonts w:cs="Arial" w:hint="eastAsia"/>
          <w:sz w:val="28"/>
          <w:szCs w:val="28"/>
        </w:rPr>
      </w:pPr>
      <w:r>
        <w:rPr>
          <w:rFonts w:cs="Arial" w:hint="eastAsia"/>
          <w:sz w:val="28"/>
          <w:szCs w:val="28"/>
        </w:rPr>
        <w:t>1、分别录取个人赛和团体赛前8名，不足8名的减1录取。</w:t>
      </w:r>
    </w:p>
    <w:p w14:paraId="93E1A0C4">
      <w:pPr>
        <w:pStyle w:val="style0"/>
        <w:spacing w:lineRule="auto" w:line="3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2、如出现次数相同的，则并列名次。</w:t>
      </w:r>
    </w:p>
    <w:p w14:paraId="16781D67">
      <w:pPr>
        <w:pStyle w:val="style0"/>
        <w:widowControl/>
        <w:ind w:right="884"/>
        <w:textAlignment w:val="baseline"/>
        <w:rPr>
          <w:rFonts w:hint="eastAsia"/>
          <w:b/>
          <w:sz w:val="28"/>
          <w:szCs w:val="28"/>
          <w:lang w:val="en-US" w:eastAsia="zh-CN"/>
        </w:rPr>
      </w:pPr>
      <w:r>
        <w:rPr>
          <w:b/>
          <w:sz w:val="28"/>
          <w:szCs w:val="28"/>
        </w:rPr>
        <w:t>十</w:t>
      </w:r>
      <w:r>
        <w:rPr>
          <w:rFonts w:hint="eastAsia"/>
          <w:b/>
          <w:sz w:val="28"/>
          <w:szCs w:val="28"/>
        </w:rPr>
        <w:t>二</w:t>
      </w:r>
      <w:r>
        <w:rPr>
          <w:b/>
          <w:sz w:val="28"/>
          <w:szCs w:val="28"/>
        </w:rPr>
        <w:t>﹑</w:t>
      </w:r>
      <w:r>
        <w:rPr>
          <w:rFonts w:hint="eastAsia"/>
          <w:b/>
          <w:sz w:val="28"/>
          <w:szCs w:val="28"/>
          <w:lang w:val="en-US" w:eastAsia="zh-CN"/>
        </w:rPr>
        <w:t>跳绳比赛计分方法</w:t>
      </w:r>
    </w:p>
    <w:p w14:paraId="6425238E">
      <w:pPr>
        <w:pStyle w:val="style0"/>
        <w:widowControl/>
        <w:ind w:right="884" w:firstLine="480" w:firstLineChars="200"/>
        <w:textAlignment w:val="baseline"/>
        <w:rPr>
          <w:rFonts w:hint="default"/>
          <w:b/>
          <w:sz w:val="28"/>
          <w:szCs w:val="28"/>
          <w:lang w:val="en-US" w:eastAsia="zh-CN"/>
        </w:rPr>
      </w:pPr>
      <w:r>
        <w:rPr>
          <w:rFonts w:ascii="宋体" w:cs="宋体" w:hAnsi="宋体" w:hint="eastAsia"/>
          <w:bCs/>
          <w:color w:val="000000"/>
          <w:kern w:val="0"/>
          <w:sz w:val="24"/>
        </w:rPr>
        <w:t>跳绳</w:t>
      </w:r>
      <w:r>
        <w:rPr>
          <w:rFonts w:ascii="宋体" w:cs="宋体" w:hAnsi="宋体" w:hint="eastAsia"/>
          <w:bCs/>
          <w:color w:val="000000"/>
          <w:kern w:val="0"/>
          <w:sz w:val="24"/>
          <w:lang w:val="en-US" w:eastAsia="zh-CN"/>
        </w:rPr>
        <w:t>比赛取团体</w:t>
      </w:r>
      <w:r>
        <w:rPr>
          <w:rFonts w:ascii="宋体" w:cs="宋体" w:hAnsi="宋体" w:hint="eastAsia"/>
          <w:color w:val="000000"/>
          <w:kern w:val="0"/>
          <w:sz w:val="24"/>
          <w:shd w:val="clear" w:color="auto" w:fill="ffffff"/>
        </w:rPr>
        <w:t>前八名，</w:t>
      </w:r>
      <w:r>
        <w:rPr>
          <w:rFonts w:ascii="宋体" w:cs="宋体" w:hAnsi="宋体" w:hint="eastAsia"/>
          <w:bCs/>
          <w:color w:val="000000"/>
          <w:kern w:val="0"/>
          <w:sz w:val="24"/>
        </w:rPr>
        <w:t>分别以36分、3</w:t>
      </w:r>
      <w:r>
        <w:rPr>
          <w:rFonts w:ascii="宋体" w:cs="宋体" w:hAnsi="宋体" w:hint="eastAsia"/>
          <w:bCs/>
          <w:color w:val="000000"/>
          <w:kern w:val="0"/>
          <w:sz w:val="24"/>
          <w:lang w:val="en-US" w:eastAsia="zh-CN"/>
        </w:rPr>
        <w:t>0</w:t>
      </w:r>
      <w:r>
        <w:rPr>
          <w:rFonts w:ascii="宋体" w:cs="宋体" w:hAnsi="宋体" w:hint="eastAsia"/>
          <w:bCs/>
          <w:color w:val="000000"/>
          <w:kern w:val="0"/>
          <w:sz w:val="24"/>
        </w:rPr>
        <w:t>分、2</w:t>
      </w:r>
      <w:r>
        <w:rPr>
          <w:rFonts w:ascii="宋体" w:cs="宋体" w:hAnsi="宋体" w:hint="eastAsia"/>
          <w:bCs/>
          <w:color w:val="000000"/>
          <w:kern w:val="0"/>
          <w:sz w:val="24"/>
          <w:lang w:val="en-US" w:eastAsia="zh-CN"/>
        </w:rPr>
        <w:t>6</w:t>
      </w:r>
      <w:r>
        <w:rPr>
          <w:rFonts w:ascii="宋体" w:cs="宋体" w:hAnsi="宋体" w:hint="eastAsia"/>
          <w:bCs/>
          <w:color w:val="000000"/>
          <w:kern w:val="0"/>
          <w:sz w:val="24"/>
        </w:rPr>
        <w:t>分、2</w:t>
      </w:r>
      <w:r>
        <w:rPr>
          <w:rFonts w:ascii="宋体" w:cs="宋体" w:hAnsi="宋体" w:hint="eastAsia"/>
          <w:bCs/>
          <w:color w:val="000000"/>
          <w:kern w:val="0"/>
          <w:sz w:val="24"/>
          <w:lang w:val="en-US" w:eastAsia="zh-CN"/>
        </w:rPr>
        <w:t>4</w:t>
      </w:r>
      <w:r>
        <w:rPr>
          <w:rFonts w:ascii="宋体" w:cs="宋体" w:hAnsi="宋体" w:hint="eastAsia"/>
          <w:bCs/>
          <w:color w:val="000000"/>
          <w:kern w:val="0"/>
          <w:sz w:val="24"/>
        </w:rPr>
        <w:t>分、2</w:t>
      </w:r>
      <w:r>
        <w:rPr>
          <w:rFonts w:ascii="宋体" w:cs="宋体" w:hAnsi="宋体" w:hint="eastAsia"/>
          <w:bCs/>
          <w:color w:val="000000"/>
          <w:kern w:val="0"/>
          <w:sz w:val="24"/>
          <w:lang w:val="en-US" w:eastAsia="zh-CN"/>
        </w:rPr>
        <w:t>2</w:t>
      </w:r>
      <w:r>
        <w:rPr>
          <w:rFonts w:ascii="宋体" w:cs="宋体" w:hAnsi="宋体" w:hint="eastAsia"/>
          <w:bCs/>
          <w:color w:val="000000"/>
          <w:kern w:val="0"/>
          <w:sz w:val="24"/>
        </w:rPr>
        <w:t>分、2</w:t>
      </w:r>
      <w:r>
        <w:rPr>
          <w:rFonts w:ascii="宋体" w:cs="宋体" w:hAnsi="宋体" w:hint="eastAsia"/>
          <w:bCs/>
          <w:color w:val="000000"/>
          <w:kern w:val="0"/>
          <w:sz w:val="24"/>
          <w:lang w:val="en-US" w:eastAsia="zh-CN"/>
        </w:rPr>
        <w:t>0</w:t>
      </w:r>
      <w:r>
        <w:rPr>
          <w:rFonts w:ascii="宋体" w:cs="宋体" w:hAnsi="宋体" w:hint="eastAsia"/>
          <w:bCs/>
          <w:color w:val="000000"/>
          <w:kern w:val="0"/>
          <w:sz w:val="24"/>
        </w:rPr>
        <w:t>分、</w:t>
      </w:r>
      <w:r>
        <w:rPr>
          <w:rFonts w:ascii="宋体" w:cs="宋体" w:hAnsi="宋体" w:hint="eastAsia"/>
          <w:bCs/>
          <w:color w:val="000000"/>
          <w:kern w:val="0"/>
          <w:sz w:val="24"/>
          <w:lang w:val="en-US" w:eastAsia="zh-CN"/>
        </w:rPr>
        <w:t>18</w:t>
      </w:r>
      <w:r>
        <w:rPr>
          <w:rFonts w:ascii="宋体" w:cs="宋体" w:hAnsi="宋体" w:hint="eastAsia"/>
          <w:bCs/>
          <w:color w:val="000000"/>
          <w:kern w:val="0"/>
          <w:sz w:val="24"/>
        </w:rPr>
        <w:t>分、1</w:t>
      </w:r>
      <w:r>
        <w:rPr>
          <w:rFonts w:ascii="宋体" w:cs="宋体" w:hAnsi="宋体" w:hint="eastAsia"/>
          <w:bCs/>
          <w:color w:val="000000"/>
          <w:kern w:val="0"/>
          <w:sz w:val="24"/>
          <w:lang w:val="en-US" w:eastAsia="zh-CN"/>
        </w:rPr>
        <w:t>6</w:t>
      </w:r>
      <w:r>
        <w:rPr>
          <w:rFonts w:ascii="宋体" w:cs="宋体" w:hAnsi="宋体" w:hint="eastAsia"/>
          <w:bCs/>
          <w:color w:val="000000"/>
          <w:kern w:val="0"/>
          <w:sz w:val="24"/>
        </w:rPr>
        <w:t>分的名次得分计入团体总分，其余以12分计入团体总分，没报名参加及比赛弃权单位以0分计。</w:t>
      </w:r>
    </w:p>
    <w:p w14:paraId="E24E2901">
      <w:pPr>
        <w:pStyle w:val="style0"/>
        <w:widowControl/>
        <w:ind w:right="884"/>
        <w:textAlignment w:val="baseline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十三、</w:t>
      </w:r>
      <w:r>
        <w:rPr>
          <w:b/>
          <w:sz w:val="28"/>
          <w:szCs w:val="28"/>
        </w:rPr>
        <w:t>特别通知</w:t>
      </w:r>
    </w:p>
    <w:p w14:paraId="D2FB7926">
      <w:pPr>
        <w:pStyle w:val="style0"/>
        <w:widowControl/>
        <w:textAlignment w:val="baseline"/>
        <w:rPr>
          <w:rFonts w:hint="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</w:t>
      </w:r>
      <w:r>
        <w:rPr>
          <w:sz w:val="28"/>
          <w:szCs w:val="28"/>
        </w:rPr>
        <w:t>1、请各学院代表队严禁带病参赛和上岗，如有情况立刻向各自学院管理人员报告。</w:t>
      </w:r>
    </w:p>
    <w:p w14:paraId="D64314F4">
      <w:pPr>
        <w:pStyle w:val="style0"/>
        <w:widowControl/>
        <w:ind w:firstLine="420" w:firstLineChars="150"/>
        <w:textAlignment w:val="baseline"/>
        <w:rPr>
          <w:sz w:val="28"/>
          <w:szCs w:val="28"/>
        </w:rPr>
      </w:pPr>
      <w:r>
        <w:rPr>
          <w:sz w:val="28"/>
          <w:szCs w:val="28"/>
        </w:rPr>
        <w:t>2、严谨弄虚作假等非体育道德行为，对各类违纪行为做出相应处罚。</w:t>
      </w:r>
    </w:p>
    <w:p w14:paraId="CF1FC80E">
      <w:pPr>
        <w:pStyle w:val="style0"/>
        <w:widowControl/>
        <w:ind w:firstLine="420" w:firstLineChars="150"/>
        <w:textAlignment w:val="baseline"/>
        <w:rPr>
          <w:sz w:val="28"/>
          <w:szCs w:val="28"/>
        </w:rPr>
      </w:pPr>
      <w:r>
        <w:rPr>
          <w:sz w:val="28"/>
          <w:szCs w:val="28"/>
        </w:rPr>
        <w:t>3、比赛检录时需出示本人学生证，若非本人则取消参赛者比赛资。</w:t>
      </w:r>
    </w:p>
    <w:p w14:paraId="B0E1B6D0">
      <w:pPr>
        <w:pStyle w:val="style0"/>
        <w:widowControl/>
        <w:ind w:firstLine="420" w:firstLineChars="150"/>
        <w:textAlignment w:val="baseline"/>
        <w:rPr>
          <w:sz w:val="28"/>
          <w:szCs w:val="28"/>
        </w:rPr>
      </w:pPr>
      <w:r>
        <w:rPr>
          <w:sz w:val="28"/>
          <w:szCs w:val="28"/>
        </w:rPr>
        <w:t>4、各队应提早30分钟到场，并将上场队员名单及学生证交裁判组进行队员资格核查。</w:t>
      </w:r>
    </w:p>
    <w:p w14:paraId="77A7B403">
      <w:pPr>
        <w:pStyle w:val="style0"/>
        <w:widowControl/>
        <w:textAlignment w:val="baseline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十</w:t>
      </w:r>
      <w:r>
        <w:rPr>
          <w:rFonts w:hint="eastAsia"/>
          <w:b/>
          <w:bCs/>
          <w:sz w:val="28"/>
          <w:szCs w:val="28"/>
          <w:lang w:val="en-US" w:eastAsia="zh-CN"/>
        </w:rPr>
        <w:t>四</w:t>
      </w:r>
      <w:r>
        <w:rPr>
          <w:b/>
          <w:bCs/>
          <w:sz w:val="28"/>
          <w:szCs w:val="28"/>
        </w:rPr>
        <w:t>、未尽事宜，另行通知</w:t>
      </w:r>
    </w:p>
    <w:p w14:paraId="A16788D0">
      <w:pPr>
        <w:pStyle w:val="style0"/>
        <w:widowControl/>
        <w:textAlignment w:val="baseline"/>
        <w:rPr>
          <w:rFonts w:hint="eastAsia"/>
          <w:sz w:val="28"/>
          <w:szCs w:val="28"/>
        </w:rPr>
      </w:pPr>
    </w:p>
    <w:p w14:paraId="AE117F67">
      <w:pPr>
        <w:pStyle w:val="style0"/>
        <w:widowControl/>
        <w:ind w:firstLine="420" w:firstLineChars="150"/>
        <w:jc w:val="right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福建船政交通职业学院体育运动委员会    </w:t>
      </w:r>
    </w:p>
    <w:p w14:paraId="0C6CD31A">
      <w:pPr>
        <w:pStyle w:val="style0"/>
        <w:widowControl/>
        <w:ind w:firstLine="420" w:firstLineChars="150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sz w:val="28"/>
          <w:szCs w:val="28"/>
        </w:rPr>
        <w:t xml:space="preserve">月 </w:t>
      </w:r>
    </w:p>
    <w:p w14:paraId="3888B95A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5E83DB52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35411840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991E2BBF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C0654DC3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C68632E1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3DB6FAAA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36252C40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C39FEE88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E6CC4244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BF9DC440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BD667801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18AF1389">
      <w:pPr>
        <w:pStyle w:val="style0"/>
        <w:widowControl/>
        <w:textAlignment w:val="baseline"/>
        <w:rPr>
          <w:rFonts w:ascii="宋体" w:eastAsia="宋体" w:hAnsi="宋体" w:hint="eastAsia"/>
          <w:sz w:val="32"/>
          <w:szCs w:val="32"/>
        </w:rPr>
      </w:pPr>
    </w:p>
    <w:p w14:paraId="8F6CDB05">
      <w:pPr>
        <w:pStyle w:val="style0"/>
        <w:jc w:val="center"/>
        <w:rPr>
          <w:rFonts w:ascii="宋体" w:eastAsia="宋体" w:hAnsi="宋体" w:hint="eastAsia"/>
          <w:sz w:val="32"/>
          <w:szCs w:val="32"/>
          <w:lang w:val="en-US" w:eastAsia="zh-CN"/>
        </w:rPr>
      </w:pPr>
      <w:r>
        <w:rPr>
          <w:rFonts w:ascii="宋体" w:eastAsia="宋体" w:hAnsi="宋体" w:hint="eastAsia"/>
          <w:sz w:val="32"/>
          <w:szCs w:val="32"/>
        </w:rPr>
        <w:t>2</w:t>
      </w:r>
      <w:r>
        <w:rPr>
          <w:rFonts w:ascii="宋体" w:eastAsia="宋体" w:hAnsi="宋体"/>
          <w:sz w:val="32"/>
          <w:szCs w:val="32"/>
        </w:rPr>
        <w:t>02</w:t>
      </w:r>
      <w:r>
        <w:rPr>
          <w:rFonts w:ascii="宋体" w:eastAsia="宋体" w:hAnsi="宋体" w:hint="eastAsia"/>
          <w:sz w:val="32"/>
          <w:szCs w:val="32"/>
          <w:lang w:val="en-US" w:eastAsia="zh-CN"/>
        </w:rPr>
        <w:t>5</w:t>
      </w:r>
      <w:r>
        <w:rPr>
          <w:rFonts w:ascii="宋体" w:eastAsia="宋体" w:hAnsi="宋体" w:hint="eastAsia"/>
          <w:sz w:val="32"/>
          <w:szCs w:val="32"/>
        </w:rPr>
        <w:t>年福建船政交通职业学院</w:t>
      </w:r>
      <w:r>
        <w:rPr>
          <w:rFonts w:ascii="宋体" w:eastAsia="宋体" w:hAnsi="宋体" w:hint="eastAsia"/>
          <w:sz w:val="32"/>
          <w:szCs w:val="32"/>
          <w:lang w:val="en-US" w:eastAsia="zh-CN"/>
        </w:rPr>
        <w:t>体育节</w:t>
      </w:r>
    </w:p>
    <w:bookmarkStart w:id="0" w:name="_GoBack"/>
    <w:bookmarkEnd w:id="0"/>
    <w:p w14:paraId="9A835A2B">
      <w:pPr>
        <w:pStyle w:val="style0"/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  <w:lang w:val="en-US" w:eastAsia="zh-CN"/>
        </w:rPr>
        <w:t>“船政杯”</w:t>
      </w:r>
      <w:r>
        <w:rPr>
          <w:rFonts w:ascii="宋体" w:eastAsia="宋体" w:hAnsi="宋体" w:hint="eastAsia"/>
          <w:sz w:val="32"/>
          <w:szCs w:val="32"/>
        </w:rPr>
        <w:t>跳绳比赛报名表</w:t>
      </w:r>
    </w:p>
    <w:p w14:paraId="7D2F118C">
      <w:pPr>
        <w:pStyle w:val="style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  <w:lang w:val="en-US" w:eastAsia="zh-CN"/>
        </w:rPr>
        <w:t>单位名称</w:t>
      </w:r>
      <w:r>
        <w:rPr>
          <w:rFonts w:ascii="宋体" w:eastAsia="宋体" w:hAnsi="宋体" w:hint="eastAsia"/>
          <w:sz w:val="28"/>
          <w:szCs w:val="28"/>
        </w:rPr>
        <w:t xml:space="preserve">： </w:t>
      </w:r>
      <w:r>
        <w:rPr>
          <w:rFonts w:ascii="宋体" w:eastAsia="宋体" w:hAnsi="宋体"/>
          <w:sz w:val="28"/>
          <w:szCs w:val="28"/>
        </w:rPr>
        <w:t xml:space="preserve">              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       </w:t>
      </w:r>
    </w:p>
    <w:p w14:paraId="8C35F618">
      <w:pPr>
        <w:pStyle w:val="style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  <w:lang w:val="en-US" w:eastAsia="zh-CN"/>
        </w:rPr>
        <w:t>领队</w:t>
      </w:r>
      <w:r>
        <w:rPr>
          <w:rFonts w:ascii="宋体" w:eastAsia="宋体" w:hAnsi="宋体" w:hint="eastAsia"/>
          <w:sz w:val="28"/>
          <w:szCs w:val="28"/>
        </w:rPr>
        <w:t xml:space="preserve">： </w:t>
      </w:r>
      <w:r>
        <w:rPr>
          <w:rFonts w:ascii="宋体" w:eastAsia="宋体" w:hAnsi="宋体"/>
          <w:sz w:val="28"/>
          <w:szCs w:val="28"/>
        </w:rPr>
        <w:t xml:space="preserve">          </w:t>
      </w:r>
      <w:r>
        <w:rPr>
          <w:rFonts w:ascii="宋体" w:eastAsia="宋体" w:hAnsi="宋体" w:hint="eastAsia"/>
          <w:sz w:val="28"/>
          <w:szCs w:val="28"/>
        </w:rPr>
        <w:t>联系电话：</w:t>
      </w:r>
    </w:p>
    <w:p w14:paraId="3985BDAD">
      <w:pPr>
        <w:pStyle w:val="style0"/>
        <w:rPr>
          <w:rFonts w:ascii="宋体" w:eastAsia="宋体" w:hAnsi="宋体" w:hint="default"/>
          <w:sz w:val="28"/>
          <w:szCs w:val="28"/>
          <w:lang w:val="en-US" w:eastAsia="zh-CN"/>
        </w:rPr>
      </w:pPr>
      <w:r>
        <w:rPr>
          <w:rFonts w:ascii="宋体" w:eastAsia="宋体" w:hAnsi="宋体" w:hint="eastAsia"/>
          <w:sz w:val="28"/>
          <w:szCs w:val="28"/>
          <w:lang w:val="en-US" w:eastAsia="zh-CN"/>
        </w:rPr>
        <w:t>教练：           联系电话：</w:t>
      </w:r>
    </w:p>
    <w:tbl>
      <w:tblPr>
        <w:tblStyle w:val="style105"/>
        <w:tblW w:w="89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187"/>
        <w:gridCol w:w="857"/>
        <w:gridCol w:w="1085"/>
        <w:gridCol w:w="1264"/>
        <w:gridCol w:w="1124"/>
        <w:gridCol w:w="1124"/>
        <w:gridCol w:w="1071"/>
      </w:tblGrid>
      <w:tr w14:paraId="1AA76A3E">
        <w:trPr>
          <w:trHeight w:val="183" w:hRule="atLeast"/>
          <w:jc w:val="center"/>
        </w:trPr>
        <w:tc>
          <w:tcPr>
            <w:tcW w:w="3317" w:type="dxa"/>
            <w:gridSpan w:val="3"/>
            <w:tcBorders/>
            <w:shd w:val="clear" w:color="auto" w:fill="auto"/>
          </w:tcPr>
          <w:p w14:paraId="6F1DF938">
            <w:pPr>
              <w:pStyle w:val="style94"/>
              <w:spacing w:before="0" w:after="150" w:lineRule="atLeast" w:line="420"/>
              <w:jc w:val="center"/>
              <w:rPr>
                <w:rFonts w:cs="Arial" w:hint="eastAsia"/>
              </w:rPr>
            </w:pPr>
            <w:r>
              <w:rPr>
                <w:rFonts w:cs="Arial" w:hint="eastAsia"/>
              </w:rPr>
              <w:t>项目</w:t>
            </w:r>
          </w:p>
        </w:tc>
        <w:tc>
          <w:tcPr>
            <w:tcW w:w="5668" w:type="dxa"/>
            <w:gridSpan w:val="5"/>
            <w:tcBorders/>
            <w:shd w:val="clear" w:color="auto" w:fill="auto"/>
          </w:tcPr>
          <w:p w14:paraId="306D9A4C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  <w:r>
              <w:rPr>
                <w:rFonts w:cs="Arial" w:hint="eastAsia"/>
              </w:rPr>
              <w:t>运动员</w:t>
            </w:r>
            <w:r>
              <w:rPr>
                <w:rFonts w:cs="Arial"/>
              </w:rPr>
              <w:t>名单</w:t>
            </w:r>
          </w:p>
        </w:tc>
      </w:tr>
      <w:tr w14:paraId="A71F3884">
        <w:tblPrEx/>
        <w:trPr>
          <w:trHeight w:val="681" w:hRule="atLeast"/>
          <w:jc w:val="center"/>
        </w:trPr>
        <w:tc>
          <w:tcPr>
            <w:tcW w:w="1273" w:type="dxa"/>
            <w:vMerge w:val="restart"/>
            <w:tcBorders/>
            <w:shd w:val="clear" w:color="auto" w:fill="auto"/>
            <w:vAlign w:val="center"/>
          </w:tcPr>
          <w:p w14:paraId="5FE0E71D">
            <w:pPr>
              <w:pStyle w:val="style94"/>
              <w:spacing w:before="0" w:after="150" w:lineRule="atLeast" w:line="420"/>
              <w:jc w:val="center"/>
              <w:rPr>
                <w:rFonts w:cs="Arial" w:hint="eastAsia"/>
              </w:rPr>
            </w:pPr>
            <w:r>
              <w:rPr>
                <w:rFonts w:cs="Arial" w:hint="eastAsia"/>
              </w:rPr>
              <w:t>速度</w:t>
            </w:r>
            <w:r>
              <w:rPr>
                <w:rFonts w:cs="Arial"/>
              </w:rPr>
              <w:t>项目</w:t>
            </w:r>
          </w:p>
        </w:tc>
        <w:tc>
          <w:tcPr>
            <w:tcW w:w="1187" w:type="dxa"/>
            <w:vMerge w:val="restart"/>
            <w:tcBorders/>
            <w:shd w:val="clear" w:color="auto" w:fill="auto"/>
            <w:vAlign w:val="center"/>
          </w:tcPr>
          <w:p w14:paraId="2B310B18">
            <w:pPr>
              <w:pStyle w:val="style94"/>
              <w:spacing w:before="0" w:after="150" w:lineRule="atLeast" w:line="420"/>
              <w:jc w:val="center"/>
              <w:rPr>
                <w:rFonts w:hint="eastAsia"/>
              </w:rPr>
            </w:pPr>
            <w:r>
              <w:t>一</w:t>
            </w:r>
            <w:r>
              <w:rPr>
                <w:rFonts w:hint="eastAsia"/>
              </w:rPr>
              <w:t>分钟</w:t>
            </w:r>
          </w:p>
          <w:p w14:paraId="703B2C72">
            <w:pPr>
              <w:pStyle w:val="style94"/>
              <w:spacing w:before="0" w:after="150" w:lineRule="atLeast" w:line="420"/>
              <w:jc w:val="center"/>
              <w:rPr/>
            </w:pPr>
            <w:r>
              <w:t>单摇</w:t>
            </w:r>
          </w:p>
        </w:tc>
        <w:tc>
          <w:tcPr>
            <w:tcW w:w="857" w:type="dxa"/>
            <w:tcBorders/>
            <w:shd w:val="clear" w:color="auto" w:fill="auto"/>
            <w:vAlign w:val="center"/>
          </w:tcPr>
          <w:p w14:paraId="51573616">
            <w:pPr>
              <w:pStyle w:val="style94"/>
              <w:spacing w:before="0" w:after="150" w:lineRule="atLeast" w:line="420"/>
              <w:jc w:val="center"/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085" w:type="dxa"/>
            <w:tcBorders/>
            <w:shd w:val="clear" w:color="auto" w:fill="auto"/>
          </w:tcPr>
          <w:p w14:paraId="D02BA73A">
            <w:pPr>
              <w:pStyle w:val="style0"/>
              <w:widowControl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264" w:type="dxa"/>
            <w:tcBorders/>
            <w:shd w:val="clear" w:color="auto" w:fill="auto"/>
          </w:tcPr>
          <w:p w14:paraId="AA921B6A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124" w:type="dxa"/>
            <w:tcBorders/>
            <w:shd w:val="clear" w:color="auto" w:fill="auto"/>
          </w:tcPr>
          <w:p w14:paraId="4F1FA124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124" w:type="dxa"/>
            <w:tcBorders/>
            <w:shd w:val="clear" w:color="auto" w:fill="auto"/>
          </w:tcPr>
          <w:p w14:paraId="57A911F7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071" w:type="dxa"/>
            <w:tcBorders/>
            <w:shd w:val="clear" w:color="auto" w:fill="auto"/>
          </w:tcPr>
          <w:p w14:paraId="E0E46173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</w:tr>
      <w:tr w14:paraId="73E90E1B">
        <w:tblPrEx/>
        <w:trPr>
          <w:trHeight w:val="681" w:hRule="atLeast"/>
          <w:jc w:val="center"/>
        </w:trPr>
        <w:tc>
          <w:tcPr>
            <w:tcW w:w="1273" w:type="dxa"/>
            <w:vMerge w:val="continue"/>
            <w:tcBorders/>
            <w:shd w:val="clear" w:color="auto" w:fill="auto"/>
            <w:vAlign w:val="center"/>
          </w:tcPr>
          <w:p w14:paraId="94F5C708">
            <w:pPr>
              <w:pStyle w:val="style94"/>
              <w:spacing w:before="0" w:after="150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187" w:type="dxa"/>
            <w:vMerge w:val="continue"/>
            <w:tcBorders/>
            <w:shd w:val="clear" w:color="auto" w:fill="auto"/>
            <w:vAlign w:val="center"/>
          </w:tcPr>
          <w:p w14:paraId="F502C061">
            <w:pPr>
              <w:pStyle w:val="style94"/>
              <w:spacing w:before="0" w:after="150" w:lineRule="atLeast" w:line="420"/>
              <w:jc w:val="center"/>
              <w:rPr/>
            </w:pPr>
          </w:p>
        </w:tc>
        <w:tc>
          <w:tcPr>
            <w:tcW w:w="857" w:type="dxa"/>
            <w:tcBorders/>
            <w:shd w:val="clear" w:color="auto" w:fill="auto"/>
            <w:vAlign w:val="center"/>
          </w:tcPr>
          <w:p w14:paraId="D0F391D3">
            <w:pPr>
              <w:pStyle w:val="style94"/>
              <w:spacing w:before="0" w:after="150" w:lineRule="atLeast" w:line="420"/>
              <w:jc w:val="center"/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085" w:type="dxa"/>
            <w:tcBorders/>
            <w:shd w:val="clear" w:color="auto" w:fill="auto"/>
          </w:tcPr>
          <w:p w14:paraId="659B3AAA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264" w:type="dxa"/>
            <w:tcBorders/>
            <w:shd w:val="clear" w:color="auto" w:fill="auto"/>
          </w:tcPr>
          <w:p w14:paraId="1DCD8A47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124" w:type="dxa"/>
            <w:tcBorders/>
            <w:shd w:val="clear" w:color="auto" w:fill="auto"/>
          </w:tcPr>
          <w:p w14:paraId="35C8F087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124" w:type="dxa"/>
            <w:tcBorders/>
            <w:shd w:val="clear" w:color="auto" w:fill="auto"/>
          </w:tcPr>
          <w:p w14:paraId="D4EDFC89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071" w:type="dxa"/>
            <w:tcBorders/>
            <w:shd w:val="clear" w:color="auto" w:fill="auto"/>
          </w:tcPr>
          <w:p w14:paraId="8576EE46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</w:tr>
      <w:tr w14:paraId="241B7DFA">
        <w:tblPrEx/>
        <w:trPr>
          <w:trHeight w:val="681" w:hRule="atLeast"/>
          <w:jc w:val="center"/>
        </w:trPr>
        <w:tc>
          <w:tcPr>
            <w:tcW w:w="1273" w:type="dxa"/>
            <w:vMerge w:val="continue"/>
            <w:tcBorders/>
            <w:shd w:val="clear" w:color="auto" w:fill="auto"/>
            <w:vAlign w:val="center"/>
          </w:tcPr>
          <w:p w14:paraId="8F463553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187" w:type="dxa"/>
            <w:vMerge w:val="restart"/>
            <w:tcBorders/>
            <w:shd w:val="clear" w:color="auto" w:fill="auto"/>
            <w:vAlign w:val="center"/>
          </w:tcPr>
          <w:p w14:paraId="0852211E">
            <w:pPr>
              <w:pStyle w:val="style94"/>
              <w:spacing w:before="0" w:beforeAutospacing="false" w:after="150" w:afterAutospacing="false" w:lineRule="atLeast" w:line="420"/>
              <w:jc w:val="center"/>
              <w:rPr/>
            </w:pPr>
            <w:r>
              <w:t>30秒</w:t>
            </w:r>
          </w:p>
          <w:p w14:paraId="FB3FA21B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  <w:r>
              <w:t>双摇</w:t>
            </w:r>
          </w:p>
        </w:tc>
        <w:tc>
          <w:tcPr>
            <w:tcW w:w="857" w:type="dxa"/>
            <w:tcBorders/>
            <w:shd w:val="clear" w:color="auto" w:fill="auto"/>
            <w:vAlign w:val="center"/>
          </w:tcPr>
          <w:p w14:paraId="76F53D0A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  <w:r>
              <w:rPr>
                <w:rFonts w:cs="Arial" w:hint="eastAsia"/>
              </w:rPr>
              <w:t>男</w:t>
            </w:r>
          </w:p>
        </w:tc>
        <w:tc>
          <w:tcPr>
            <w:tcW w:w="1085" w:type="dxa"/>
            <w:tcBorders/>
            <w:shd w:val="clear" w:color="auto" w:fill="auto"/>
          </w:tcPr>
          <w:p w14:paraId="FC2386CF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264" w:type="dxa"/>
            <w:tcBorders/>
            <w:shd w:val="clear" w:color="auto" w:fill="auto"/>
          </w:tcPr>
          <w:p w14:paraId="A91D86BE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124" w:type="dxa"/>
            <w:tcBorders/>
            <w:shd w:val="clear" w:color="auto" w:fill="auto"/>
          </w:tcPr>
          <w:p w14:paraId="7B587F8E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124" w:type="dxa"/>
            <w:tcBorders/>
            <w:shd w:val="clear" w:color="auto" w:fill="auto"/>
          </w:tcPr>
          <w:p w14:paraId="604EF093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071" w:type="dxa"/>
            <w:tcBorders/>
            <w:shd w:val="clear" w:color="auto" w:fill="auto"/>
          </w:tcPr>
          <w:p w14:paraId="FDC4052E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</w:tr>
      <w:tr w14:paraId="4867B93D">
        <w:tblPrEx/>
        <w:trPr>
          <w:trHeight w:val="681" w:hRule="atLeast"/>
          <w:jc w:val="center"/>
        </w:trPr>
        <w:tc>
          <w:tcPr>
            <w:tcW w:w="1273" w:type="dxa"/>
            <w:vMerge w:val="continue"/>
            <w:tcBorders/>
            <w:shd w:val="clear" w:color="auto" w:fill="auto"/>
            <w:vAlign w:val="center"/>
          </w:tcPr>
          <w:p w14:paraId="28EB39D7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187" w:type="dxa"/>
            <w:vMerge w:val="continue"/>
            <w:tcBorders/>
            <w:shd w:val="clear" w:color="auto" w:fill="auto"/>
            <w:vAlign w:val="center"/>
          </w:tcPr>
          <w:p w14:paraId="8980B2D6">
            <w:pPr>
              <w:pStyle w:val="style94"/>
              <w:spacing w:before="0" w:beforeAutospacing="false" w:after="150" w:afterAutospacing="false" w:lineRule="atLeast" w:line="420"/>
              <w:jc w:val="center"/>
              <w:rPr/>
            </w:pPr>
          </w:p>
        </w:tc>
        <w:tc>
          <w:tcPr>
            <w:tcW w:w="857" w:type="dxa"/>
            <w:tcBorders/>
            <w:shd w:val="clear" w:color="auto" w:fill="auto"/>
            <w:vAlign w:val="center"/>
          </w:tcPr>
          <w:p w14:paraId="5602E34C">
            <w:pPr>
              <w:pStyle w:val="style94"/>
              <w:spacing w:before="0" w:after="150" w:lineRule="atLeast" w:line="420"/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女</w:t>
            </w:r>
          </w:p>
        </w:tc>
        <w:tc>
          <w:tcPr>
            <w:tcW w:w="1085" w:type="dxa"/>
            <w:tcBorders/>
            <w:shd w:val="clear" w:color="auto" w:fill="auto"/>
          </w:tcPr>
          <w:p w14:paraId="27D1FC37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264" w:type="dxa"/>
            <w:tcBorders/>
            <w:shd w:val="clear" w:color="auto" w:fill="auto"/>
          </w:tcPr>
          <w:p w14:paraId="E51217DA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124" w:type="dxa"/>
            <w:tcBorders/>
            <w:shd w:val="clear" w:color="auto" w:fill="auto"/>
          </w:tcPr>
          <w:p w14:paraId="EE3907F4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124" w:type="dxa"/>
            <w:tcBorders/>
            <w:shd w:val="clear" w:color="auto" w:fill="auto"/>
          </w:tcPr>
          <w:p w14:paraId="DD598209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  <w:tc>
          <w:tcPr>
            <w:tcW w:w="1071" w:type="dxa"/>
            <w:tcBorders/>
            <w:shd w:val="clear" w:color="auto" w:fill="auto"/>
          </w:tcPr>
          <w:p w14:paraId="70074328">
            <w:pPr>
              <w:pStyle w:val="style94"/>
              <w:spacing w:before="0" w:beforeAutospacing="false" w:after="150" w:afterAutospacing="false" w:lineRule="atLeast" w:line="420"/>
              <w:jc w:val="center"/>
              <w:rPr>
                <w:rFonts w:cs="Arial" w:hint="eastAsia"/>
              </w:rPr>
            </w:pPr>
          </w:p>
        </w:tc>
      </w:tr>
    </w:tbl>
    <w:p w14:paraId="484CE4A2">
      <w:pPr>
        <w:pStyle w:val="style0"/>
        <w:rPr>
          <w:rFonts w:hint="eastAsia"/>
        </w:rPr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等线"/>
    <w:panose1 w:val="020106000300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787090D"/>
    <w:lvl w:ilvl="0">
      <w:start w:val="10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等线" w:cs="宋体" w:eastAsia="等线" w:hAnsi="等线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等线" w:cs="宋体" w:eastAsia="等线" w:hAnsi="等线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4">
    <w:name w:val="Normal (Web)"/>
    <w:basedOn w:val="style0"/>
    <w:next w:val="style94"/>
    <w:qFormat/>
    <w:uiPriority w:val="0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</w:rPr>
  </w:style>
  <w:style w:type="table" w:styleId="style154">
    <w:name w:val="Table Grid"/>
    <w:basedOn w:val="style105"/>
    <w:next w:val="style154"/>
    <w:qFormat/>
    <w:uiPriority w:val="3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customStyle="1" w:styleId="style4097">
    <w:name w:val="NormalCharacter"/>
    <w:next w:val="style4097"/>
    <w:qFormat/>
    <w:uiPriority w:val="0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Words>1304</Words>
  <Pages>5</Pages>
  <Characters>1351</Characters>
  <Application>WPS Office</Application>
  <DocSecurity>0</DocSecurity>
  <Paragraphs>108</Paragraphs>
  <ScaleCrop>false</ScaleCrop>
  <LinksUpToDate>false</LinksUpToDate>
  <CharactersWithSpaces>1458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2021-11-29T04:52:00Z</dcterms:created>
  <dc:creator>刘 怀仁</dc:creator>
  <lastModifiedBy>OCE-AN10</lastModifiedBy>
  <dcterms:modified xsi:type="dcterms:W3CDTF">2025-04-28T08:14:57Z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b47f27888f9941edbedf8dc647b00cdc_23</vt:lpwstr>
  </property>
</Properties>
</file>